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DC" w:rsidRPr="005376BA" w:rsidRDefault="007B30DC" w:rsidP="007B30DC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Проректор по АР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</w:t>
      </w:r>
    </w:p>
    <w:p w:rsidR="007B30DC" w:rsidRPr="005376BA" w:rsidRDefault="007B30DC" w:rsidP="007B30DC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 xml:space="preserve">№1                        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Элеманова Р.Ш.</w:t>
      </w:r>
    </w:p>
    <w:p w:rsidR="007B30DC" w:rsidRDefault="007B30DC" w:rsidP="007B30DC">
      <w:pPr>
        <w:shd w:val="clear" w:color="auto" w:fill="FFFFFF"/>
        <w:tabs>
          <w:tab w:val="left" w:leader="underscore" w:pos="199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__________________   </w:t>
      </w:r>
    </w:p>
    <w:p w:rsidR="007B30DC" w:rsidRPr="005376BA" w:rsidRDefault="007B30DC" w:rsidP="007B30DC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25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506D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3</w:t>
      </w:r>
      <w:bookmarkStart w:id="0" w:name="_GoBack"/>
      <w:bookmarkEnd w:id="0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7B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B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«25» сентября  202</w:t>
      </w:r>
      <w:r w:rsidR="00506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3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B30DC" w:rsidRPr="007B30DC" w:rsidRDefault="007B30DC" w:rsidP="007B30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0DC">
        <w:rPr>
          <w:rFonts w:ascii="Times New Roman" w:hAnsi="Times New Roman" w:cs="Times New Roman"/>
          <w:b/>
          <w:color w:val="002060"/>
          <w:sz w:val="24"/>
          <w:szCs w:val="24"/>
        </w:rPr>
        <w:t>СТРАТЕГИЯ РАЗВИТИЯ ИНСТИТУТА</w:t>
      </w:r>
    </w:p>
    <w:p w:rsidR="007B30DC" w:rsidRPr="007B30DC" w:rsidRDefault="007B30DC" w:rsidP="007B30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Стратегическая цель КГТИ на перспективу до 2025 года заключается в выполнении миссии ведущего научного, исследовательского, образовательного, методического центра в области технических наук, входящего в число передовых институтов университета и осуществляющего значительный теоретический и практический вклад в инновационное развитие и глобальную конкурентоспособность Кыргызстана.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Достижение обозначенной цели предполагает решение следующих задач: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 xml:space="preserve">1.Модернизация образовательного процесса, включающая разработку новых образовательных форм, программ и стандартов, внедрение новых образовательных технологий и систем поддержки обучения, развитие международного сотрудничества в системе образования. 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 xml:space="preserve">Существенно усилить практический аспект образовательного процесса в институте. Довести в 2025 году до 40 % на уровне </w:t>
      </w:r>
      <w:proofErr w:type="spellStart"/>
      <w:r w:rsidRPr="007B30D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B30DC">
        <w:rPr>
          <w:rFonts w:ascii="Times New Roman" w:hAnsi="Times New Roman" w:cs="Times New Roman"/>
          <w:sz w:val="24"/>
          <w:szCs w:val="24"/>
        </w:rPr>
        <w:t xml:space="preserve"> и 60 % на уровне магистратуры долю образовательных программ, реализуемых совместно с работодателями. 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Продолжать разработку методического обеспечения и внедрения в учебный процесс инновационных технических средств обучения.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 xml:space="preserve">Активизировать работу по формированию единой информационной системы образовательного процесса, наполнению образовательного портала современным учебно-методическим обеспечением. 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Развивать методику проверки знаний студентами с помощью открытых систем компьютерного тестирования.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Обеспечить высокую степень удовлетворенности студентов и работодателей качеством образования в институте. Внедрить для этого практику ежегодных тематических опросов преподавателей, студентов и работодателей.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Развивать международное сотрудничество с ведущими ВУЗами Германии для совместной образовательной деятельности.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2.Модернизация научно-исследовательского процесса и инновационной деятельности, предусматривающая создание точек генерации исследований международного уровня, развитие инновационной деятельности и международного научного сотрудничества.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Активизировать создание условий и инфраструктуры, способствующих ведению эффективных научных исследований и продвижению их результатов.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Развивать взаимодействие с ведущими научными и технологическими парками страны в целях создания научно-образовательного центра и центра трансфера технологий.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Разработать и реализовать меры по продвижению публикаций трудов ученых кафедр в международно-признанных изданиях.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lastRenderedPageBreak/>
        <w:t>3.Укрепление кадрового потенциала, контингента обучающихся и сообщества выпускников кафедры, предполагающее обновление кадрового состава, в том числе за счет привлечения творческих сил извне, стимулирование эффективной профессиональной деятельности научно – педагогического состава, создание системы работы с талантливой молодежью и выпускниками института.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Разработать и внедрить систему поддержки молодых преподавателей из числа выпускников аспирантуры и магистратуры. Ввести в практику установление индивидуальных стипендий (зарплат) для данной категории работников.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Активизировать поиск и приглашение на работу в институт авторитетных специалистов – практиков для ведения педагогической и исследовательской работы.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Сформировать систему постоянного повышения квалификации всех категорий сотрудников в области использования современных информационных технологий.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Активизировать повышение языковой квалификации преподавателей и научных работников на основе ускоренного обучения немецкого языка.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Развивать международную академическую мобильность преподавателей и исследователей по приоритетным направлениям деятельности института.</w:t>
      </w: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color w:val="002060"/>
          <w:sz w:val="24"/>
          <w:szCs w:val="24"/>
        </w:rPr>
        <w:t>►</w:t>
      </w:r>
      <w:r w:rsidRPr="007B30DC">
        <w:rPr>
          <w:rFonts w:ascii="Times New Roman" w:hAnsi="Times New Roman" w:cs="Times New Roman"/>
          <w:sz w:val="24"/>
          <w:szCs w:val="24"/>
        </w:rPr>
        <w:t>Продолжить совершенствование процесса трудоустройства и развития карьеры студентов и выпускников института, в том числе за счет расширения круга мероприятий и специальных программ подготовки в целях повышения их конкурентоспособности на рынке труда.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4.Модернизация инфраструктуры направленная на развитие технологической базы, систем обеспечения научно-исследовательской, образовательной и иной деятельности института, создание современной информационной инфраструктуры, развитие аудиторного и лабораторного фонда, обеспечение высоких стандартов качества содержания помещений.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5.Совершенствование организационной структуры института и повышение эффективности управления заключающейся в проектировании новой организационной структуры института, внедрении современных технологий стратегического менеджмента, менеджмента качества.</w:t>
      </w:r>
    </w:p>
    <w:p w:rsid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DC" w:rsidRPr="007B30DC" w:rsidRDefault="007B30DC" w:rsidP="007B3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DC">
        <w:rPr>
          <w:rFonts w:ascii="Times New Roman" w:hAnsi="Times New Roman" w:cs="Times New Roman"/>
          <w:sz w:val="24"/>
          <w:szCs w:val="24"/>
        </w:rPr>
        <w:t>6.Дальнейшее развитие международного сотрудничества. Международная деятельность – одно из важных направлений работы института, которое тесно связано с научным и образовательным процессами. К основным направлениям международной деятельности института следует отнести: развитие партнерских связей с немецкими и другими зарубежными вузами, проведение совместных международных конференций, семинаров, участие в международных образовательных и научных программах, конкурсах, конференциях, приглашение иностранных преподавателей, обучение студентов и аспирантов в ведущих ВУЗах Германии и стран ближнего и дальнего зарубежья, ведение учебно-научной работы ППС института за рубежом.</w:t>
      </w:r>
    </w:p>
    <w:p w:rsidR="00E475DE" w:rsidRPr="007B30DC" w:rsidRDefault="00E475DE">
      <w:pPr>
        <w:rPr>
          <w:sz w:val="24"/>
          <w:szCs w:val="24"/>
        </w:rPr>
      </w:pPr>
    </w:p>
    <w:sectPr w:rsidR="00E475DE" w:rsidRPr="007B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C"/>
    <w:rsid w:val="00506DDF"/>
    <w:rsid w:val="007B30DC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C75D8-20CA-49F7-8500-954D877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PRIEMKA KGTI</cp:lastModifiedBy>
  <cp:revision>2</cp:revision>
  <dcterms:created xsi:type="dcterms:W3CDTF">2023-04-05T07:49:00Z</dcterms:created>
  <dcterms:modified xsi:type="dcterms:W3CDTF">2024-05-17T07:48:00Z</dcterms:modified>
</cp:coreProperties>
</file>