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2F3" w:rsidRPr="00FE289D" w:rsidRDefault="00E55325">
      <w:pPr>
        <w:jc w:val="center"/>
        <w:rPr>
          <w:sz w:val="28"/>
          <w:szCs w:val="28"/>
          <w:lang w:val="ru-RU"/>
        </w:rPr>
      </w:pPr>
      <w:r w:rsidRPr="00FE289D">
        <w:rPr>
          <w:b/>
          <w:sz w:val="28"/>
          <w:szCs w:val="28"/>
          <w:lang w:val="ru-RU"/>
        </w:rPr>
        <w:t>АНАЛИТИЧЕСКИЙ ОТЧЕТ</w:t>
      </w:r>
      <w:r w:rsidRPr="00FE289D">
        <w:rPr>
          <w:b/>
          <w:sz w:val="28"/>
          <w:szCs w:val="28"/>
          <w:lang w:val="ru-RU"/>
        </w:rPr>
        <w:br/>
        <w:t>по результатам защиты выпускных квалификационных работ</w:t>
      </w:r>
      <w:r w:rsidRPr="00FE289D">
        <w:rPr>
          <w:b/>
          <w:sz w:val="28"/>
          <w:szCs w:val="28"/>
          <w:lang w:val="ru-RU"/>
        </w:rPr>
        <w:br/>
        <w:t xml:space="preserve">Филиала КГТУ им. И. </w:t>
      </w:r>
      <w:proofErr w:type="spellStart"/>
      <w:r w:rsidRPr="00FE289D">
        <w:rPr>
          <w:b/>
          <w:sz w:val="28"/>
          <w:szCs w:val="28"/>
          <w:lang w:val="ru-RU"/>
        </w:rPr>
        <w:t>Раззакова</w:t>
      </w:r>
      <w:proofErr w:type="spellEnd"/>
      <w:r w:rsidRPr="00FE289D">
        <w:rPr>
          <w:b/>
          <w:sz w:val="28"/>
          <w:szCs w:val="28"/>
          <w:lang w:val="ru-RU"/>
        </w:rPr>
        <w:t xml:space="preserve"> в г. Кызыл-</w:t>
      </w:r>
      <w:proofErr w:type="spellStart"/>
      <w:r w:rsidRPr="00FE289D">
        <w:rPr>
          <w:b/>
          <w:sz w:val="28"/>
          <w:szCs w:val="28"/>
          <w:lang w:val="ru-RU"/>
        </w:rPr>
        <w:t>Кыя</w:t>
      </w:r>
      <w:proofErr w:type="spellEnd"/>
      <w:r w:rsidRPr="00FE289D">
        <w:rPr>
          <w:b/>
          <w:sz w:val="28"/>
          <w:szCs w:val="28"/>
          <w:lang w:val="ru-RU"/>
        </w:rPr>
        <w:br/>
        <w:t>за 2022–2026 учебные годы</w:t>
      </w:r>
    </w:p>
    <w:p w:rsidR="002932F3" w:rsidRPr="00DB4D2E" w:rsidRDefault="00E55325">
      <w:pPr>
        <w:jc w:val="both"/>
        <w:rPr>
          <w:lang w:val="ru-RU"/>
        </w:rPr>
      </w:pPr>
      <w:r w:rsidRPr="00DB4D2E">
        <w:rPr>
          <w:lang w:val="ru-RU"/>
        </w:rPr>
        <w:t>В отчете обобщены результаты защиты выпускных квалификационных работ за четыре учебных года: 2022–2023, 2023–2024, 2024–2025 и 2025–2026. Анализ проведен по основным показателям: общее количество выпускников, количество студентов, допущенных к защите, число успешно защитившихся, распределение оценок и количество студентов, не допущенных к защите.</w:t>
      </w:r>
    </w:p>
    <w:p w:rsidR="002932F3" w:rsidRPr="00DB4D2E" w:rsidRDefault="00E55325">
      <w:pPr>
        <w:pStyle w:val="1"/>
        <w:rPr>
          <w:lang w:val="ru-RU"/>
        </w:rPr>
      </w:pPr>
      <w:r w:rsidRPr="00DB4D2E">
        <w:rPr>
          <w:rFonts w:ascii="Times New Roman" w:hAnsi="Times New Roman"/>
          <w:sz w:val="28"/>
          <w:lang w:val="ru-RU"/>
        </w:rPr>
        <w:t>Общая динамика результатов защиты</w:t>
      </w:r>
    </w:p>
    <w:p w:rsidR="002932F3" w:rsidRPr="00DB4D2E" w:rsidRDefault="00E55325">
      <w:pPr>
        <w:jc w:val="center"/>
        <w:rPr>
          <w:lang w:val="ru-RU"/>
        </w:rPr>
      </w:pPr>
      <w:r w:rsidRPr="00DB4D2E">
        <w:rPr>
          <w:b/>
          <w:lang w:val="ru-RU"/>
        </w:rPr>
        <w:t>Таблица 1 – Сводные показатели защиты ВКР за 2022–2026 учебные годы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7"/>
        <w:gridCol w:w="1176"/>
        <w:gridCol w:w="1177"/>
        <w:gridCol w:w="1176"/>
        <w:gridCol w:w="1176"/>
        <w:gridCol w:w="1176"/>
        <w:gridCol w:w="1176"/>
        <w:gridCol w:w="1176"/>
        <w:gridCol w:w="1176"/>
      </w:tblGrid>
      <w:tr w:rsidR="002932F3">
        <w:trPr>
          <w:jc w:val="center"/>
        </w:trPr>
        <w:tc>
          <w:tcPr>
            <w:tcW w:w="1177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proofErr w:type="spellStart"/>
            <w:r>
              <w:rPr>
                <w:b/>
                <w:sz w:val="16"/>
              </w:rPr>
              <w:t>Учебный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год</w:t>
            </w:r>
            <w:proofErr w:type="spellEnd"/>
          </w:p>
        </w:tc>
        <w:tc>
          <w:tcPr>
            <w:tcW w:w="1177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r>
              <w:rPr>
                <w:b/>
                <w:sz w:val="16"/>
              </w:rPr>
              <w:t>Всего студентов</w:t>
            </w:r>
          </w:p>
        </w:tc>
        <w:tc>
          <w:tcPr>
            <w:tcW w:w="1177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r>
              <w:rPr>
                <w:b/>
                <w:sz w:val="16"/>
              </w:rPr>
              <w:t>Допущено к защите</w:t>
            </w:r>
          </w:p>
        </w:tc>
        <w:tc>
          <w:tcPr>
            <w:tcW w:w="1177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r>
              <w:rPr>
                <w:b/>
                <w:sz w:val="16"/>
              </w:rPr>
              <w:t>Сдали</w:t>
            </w:r>
          </w:p>
        </w:tc>
        <w:tc>
          <w:tcPr>
            <w:tcW w:w="1177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r>
              <w:rPr>
                <w:b/>
                <w:sz w:val="16"/>
              </w:rPr>
              <w:t>Оценка «5»</w:t>
            </w:r>
          </w:p>
        </w:tc>
        <w:tc>
          <w:tcPr>
            <w:tcW w:w="1177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r>
              <w:rPr>
                <w:b/>
                <w:sz w:val="16"/>
              </w:rPr>
              <w:t>Оценка «4»</w:t>
            </w:r>
          </w:p>
        </w:tc>
        <w:tc>
          <w:tcPr>
            <w:tcW w:w="1177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r>
              <w:rPr>
                <w:b/>
                <w:sz w:val="16"/>
              </w:rPr>
              <w:t>Оценка «3»</w:t>
            </w:r>
          </w:p>
        </w:tc>
        <w:tc>
          <w:tcPr>
            <w:tcW w:w="1177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r>
              <w:rPr>
                <w:b/>
                <w:sz w:val="16"/>
              </w:rPr>
              <w:t>Оценка «2»</w:t>
            </w:r>
          </w:p>
        </w:tc>
        <w:tc>
          <w:tcPr>
            <w:tcW w:w="1177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r>
              <w:rPr>
                <w:b/>
                <w:sz w:val="16"/>
              </w:rPr>
              <w:t>Не допущено</w:t>
            </w:r>
          </w:p>
        </w:tc>
      </w:tr>
      <w:tr w:rsidR="002932F3">
        <w:trPr>
          <w:jc w:val="center"/>
        </w:trPr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2022–2023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83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69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66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29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14</w:t>
            </w:r>
          </w:p>
        </w:tc>
      </w:tr>
      <w:tr w:rsidR="002932F3">
        <w:trPr>
          <w:jc w:val="center"/>
        </w:trPr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2023–2024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96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72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72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42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24</w:t>
            </w:r>
          </w:p>
        </w:tc>
      </w:tr>
      <w:tr w:rsidR="002932F3">
        <w:trPr>
          <w:jc w:val="center"/>
        </w:trPr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2024–2025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147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81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80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38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66</w:t>
            </w:r>
          </w:p>
        </w:tc>
      </w:tr>
      <w:tr w:rsidR="002932F3">
        <w:trPr>
          <w:jc w:val="center"/>
        </w:trPr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2025–2026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111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75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75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39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36</w:t>
            </w:r>
          </w:p>
        </w:tc>
      </w:tr>
      <w:tr w:rsidR="002932F3">
        <w:trPr>
          <w:jc w:val="center"/>
        </w:trPr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Итого за 4 года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437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297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293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135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148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177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140</w:t>
            </w:r>
          </w:p>
        </w:tc>
      </w:tr>
    </w:tbl>
    <w:p w:rsidR="002932F3" w:rsidRPr="00DB4D2E" w:rsidRDefault="00E55325">
      <w:pPr>
        <w:jc w:val="both"/>
        <w:rPr>
          <w:lang w:val="ru-RU"/>
        </w:rPr>
      </w:pPr>
      <w:r w:rsidRPr="00DB4D2E">
        <w:rPr>
          <w:lang w:val="ru-RU"/>
        </w:rPr>
        <w:t>За анализируемый период к защите выпускных квалификационных работ было привлечено 437 студентов. К защите допущено 297 студентов, из них успешно защитились 293. Наибольшее количество выпускников зафиксировано в 2024–2025 учебном году — 147 студентов, что на 51 студент больше, чем в 2023–2024 учебном году. В 2025–2026 учебном году контингент снизился до 111 студентов, однако показатель допуска улучшился по сравнению с 2024–2025 учебным годом.</w:t>
      </w:r>
    </w:p>
    <w:p w:rsidR="00DB4D2E" w:rsidRPr="00DB4D2E" w:rsidRDefault="00DB4D2E" w:rsidP="00DB4D2E">
      <w:pPr>
        <w:numPr>
          <w:ilvl w:val="0"/>
          <w:numId w:val="10"/>
        </w:numPr>
        <w:spacing w:before="36" w:after="36" w:line="240" w:lineRule="auto"/>
        <w:rPr>
          <w:rFonts w:eastAsia="Aptos" w:cs="Times New Roman"/>
          <w:szCs w:val="24"/>
          <w:lang w:val="ru-RU"/>
        </w:rPr>
      </w:pPr>
      <w:r w:rsidRPr="00DB4D2E">
        <w:rPr>
          <w:rFonts w:eastAsia="Aptos" w:cs="Times New Roman"/>
          <w:szCs w:val="24"/>
          <w:lang w:val="ru-RU"/>
        </w:rPr>
        <w:t>Средний уровень подготовки растет, отражая улучшение методической работы с студентами.</w:t>
      </w:r>
    </w:p>
    <w:p w:rsidR="00DB4D2E" w:rsidRPr="00DB4D2E" w:rsidRDefault="00DB4D2E" w:rsidP="00DB4D2E">
      <w:pPr>
        <w:spacing w:before="36" w:after="36" w:line="240" w:lineRule="auto"/>
        <w:rPr>
          <w:rFonts w:eastAsia="Aptos" w:cs="Times New Roman"/>
          <w:szCs w:val="24"/>
          <w:lang w:val="ru-RU"/>
        </w:rPr>
      </w:pPr>
    </w:p>
    <w:p w:rsidR="00DB4D2E" w:rsidRPr="00DB4D2E" w:rsidRDefault="00DB4D2E" w:rsidP="00DB4D2E">
      <w:pPr>
        <w:spacing w:before="180" w:after="180" w:line="240" w:lineRule="auto"/>
        <w:rPr>
          <w:rFonts w:ascii="Aptos" w:eastAsia="Aptos" w:hAnsi="Aptos" w:cs="Times New Roman"/>
          <w:szCs w:val="24"/>
          <w:lang w:val="ru-RU"/>
        </w:rPr>
      </w:pPr>
      <w:r w:rsidRPr="00DB4D2E">
        <w:rPr>
          <w:rFonts w:ascii="Aptos" w:eastAsia="Aptos" w:hAnsi="Aptos" w:cs="Times New Roman"/>
          <w:noProof/>
          <w:szCs w:val="24"/>
          <w:lang w:val="ru-RU" w:eastAsia="ru-RU"/>
        </w:rPr>
        <w:lastRenderedPageBreak/>
        <w:drawing>
          <wp:inline distT="0" distB="0" distL="0" distR="0" wp14:anchorId="2D33DED8" wp14:editId="39F8CB6D">
            <wp:extent cx="5762625" cy="2771775"/>
            <wp:effectExtent l="0" t="0" r="952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932F3" w:rsidRPr="00DB4D2E" w:rsidRDefault="00E55325">
      <w:pPr>
        <w:jc w:val="center"/>
        <w:rPr>
          <w:lang w:val="ru-RU"/>
        </w:rPr>
      </w:pPr>
      <w:r w:rsidRPr="00DB4D2E">
        <w:rPr>
          <w:b/>
          <w:sz w:val="22"/>
          <w:lang w:val="ru-RU"/>
        </w:rPr>
        <w:t>Рисунок 1 – Динамика общего количества студентов, допуска и успешной защиты</w:t>
      </w:r>
    </w:p>
    <w:p w:rsidR="002932F3" w:rsidRPr="00DB4D2E" w:rsidRDefault="00E55325">
      <w:pPr>
        <w:pStyle w:val="1"/>
        <w:rPr>
          <w:lang w:val="ru-RU"/>
        </w:rPr>
      </w:pPr>
      <w:r w:rsidRPr="00DB4D2E">
        <w:rPr>
          <w:rFonts w:ascii="Times New Roman" w:hAnsi="Times New Roman"/>
          <w:sz w:val="28"/>
          <w:lang w:val="ru-RU"/>
        </w:rPr>
        <w:t>Анализ допуска к защите</w:t>
      </w:r>
    </w:p>
    <w:p w:rsidR="002932F3" w:rsidRPr="00DB4D2E" w:rsidRDefault="00E55325">
      <w:pPr>
        <w:jc w:val="both"/>
        <w:rPr>
          <w:lang w:val="ru-RU"/>
        </w:rPr>
      </w:pPr>
      <w:r w:rsidRPr="00DB4D2E">
        <w:rPr>
          <w:lang w:val="ru-RU"/>
        </w:rPr>
        <w:t>Показатель допуска к защите имеет неравномерную динамику. В 2022–2023 учебном году доля допущенных составляла 83,1%, в 2023–2024 учебном году — 75,0%. В 2024–2025 учебном году показатель снизился до 55,1%, что связано с резким увеличением числа студентов, не допущенных к защите. В 2025–2026 учебном году ситуация улучшилась: доля допущенных выросла до 67,6%, а количество не допущенных сократилось с 66 до 36 человек.</w:t>
      </w:r>
    </w:p>
    <w:p w:rsidR="002932F3" w:rsidRPr="00FE289D" w:rsidRDefault="00E55325">
      <w:pPr>
        <w:pStyle w:val="1"/>
        <w:rPr>
          <w:color w:val="auto"/>
          <w:lang w:val="ru-RU"/>
        </w:rPr>
      </w:pPr>
      <w:r w:rsidRPr="00FE289D">
        <w:rPr>
          <w:rFonts w:ascii="Times New Roman" w:hAnsi="Times New Roman"/>
          <w:color w:val="auto"/>
          <w:sz w:val="28"/>
          <w:lang w:val="ru-RU"/>
        </w:rPr>
        <w:t>Качество защиты выпускных квалификационных работ</w:t>
      </w:r>
    </w:p>
    <w:p w:rsidR="002932F3" w:rsidRPr="00FE289D" w:rsidRDefault="00E55325">
      <w:pPr>
        <w:jc w:val="center"/>
        <w:rPr>
          <w:lang w:val="ru-RU"/>
        </w:rPr>
      </w:pPr>
      <w:r w:rsidRPr="00FE289D">
        <w:rPr>
          <w:b/>
          <w:lang w:val="ru-RU"/>
        </w:rPr>
        <w:t>Таблица 2 – Относительные показатели защиты ВКР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1"/>
        <w:gridCol w:w="1513"/>
        <w:gridCol w:w="1512"/>
        <w:gridCol w:w="1513"/>
        <w:gridCol w:w="1513"/>
        <w:gridCol w:w="1512"/>
        <w:gridCol w:w="1512"/>
      </w:tblGrid>
      <w:tr w:rsidR="002932F3">
        <w:trPr>
          <w:jc w:val="center"/>
        </w:trPr>
        <w:tc>
          <w:tcPr>
            <w:tcW w:w="1514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proofErr w:type="spellStart"/>
            <w:r>
              <w:rPr>
                <w:b/>
                <w:sz w:val="16"/>
              </w:rPr>
              <w:t>Учебный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год</w:t>
            </w:r>
            <w:proofErr w:type="spellEnd"/>
          </w:p>
        </w:tc>
        <w:tc>
          <w:tcPr>
            <w:tcW w:w="1514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r>
              <w:rPr>
                <w:b/>
                <w:sz w:val="16"/>
              </w:rPr>
              <w:t>Доля допущенных, %</w:t>
            </w:r>
          </w:p>
        </w:tc>
        <w:tc>
          <w:tcPr>
            <w:tcW w:w="1514" w:type="dxa"/>
            <w:shd w:val="clear" w:color="auto" w:fill="D9EAF7"/>
            <w:vAlign w:val="center"/>
          </w:tcPr>
          <w:p w:rsidR="002932F3" w:rsidRPr="00DB4D2E" w:rsidRDefault="00E55325">
            <w:pPr>
              <w:jc w:val="center"/>
              <w:rPr>
                <w:lang w:val="ru-RU"/>
              </w:rPr>
            </w:pPr>
            <w:r w:rsidRPr="00DB4D2E">
              <w:rPr>
                <w:b/>
                <w:sz w:val="16"/>
                <w:lang w:val="ru-RU"/>
              </w:rPr>
              <w:t>Доля сдавших от общего числа, %</w:t>
            </w:r>
          </w:p>
        </w:tc>
        <w:tc>
          <w:tcPr>
            <w:tcW w:w="1514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proofErr w:type="spellStart"/>
            <w:r>
              <w:rPr>
                <w:b/>
                <w:sz w:val="16"/>
              </w:rPr>
              <w:t>Доля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сдавших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от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допущенных</w:t>
            </w:r>
            <w:proofErr w:type="spellEnd"/>
            <w:r>
              <w:rPr>
                <w:b/>
                <w:sz w:val="16"/>
              </w:rPr>
              <w:t>, %</w:t>
            </w:r>
          </w:p>
        </w:tc>
        <w:tc>
          <w:tcPr>
            <w:tcW w:w="1514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r>
              <w:rPr>
                <w:b/>
                <w:sz w:val="16"/>
              </w:rPr>
              <w:t>Доля не допущенных, %</w:t>
            </w:r>
          </w:p>
        </w:tc>
        <w:tc>
          <w:tcPr>
            <w:tcW w:w="1514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r>
              <w:rPr>
                <w:b/>
                <w:sz w:val="16"/>
              </w:rPr>
              <w:t>Качество защиты («5»+«4»), %</w:t>
            </w:r>
          </w:p>
        </w:tc>
        <w:tc>
          <w:tcPr>
            <w:tcW w:w="1514" w:type="dxa"/>
            <w:shd w:val="clear" w:color="auto" w:fill="D9EAF7"/>
            <w:vAlign w:val="center"/>
          </w:tcPr>
          <w:p w:rsidR="002932F3" w:rsidRDefault="00E55325">
            <w:pPr>
              <w:jc w:val="center"/>
            </w:pPr>
            <w:r>
              <w:rPr>
                <w:b/>
                <w:sz w:val="16"/>
              </w:rPr>
              <w:t>Средний балл</w:t>
            </w:r>
          </w:p>
        </w:tc>
      </w:tr>
      <w:tr w:rsidR="002932F3">
        <w:trPr>
          <w:jc w:val="center"/>
        </w:trPr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2022–2023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83.1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79.5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95.7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16.9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95.5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4.47</w:t>
            </w:r>
          </w:p>
        </w:tc>
      </w:tr>
      <w:tr w:rsidR="002932F3">
        <w:trPr>
          <w:jc w:val="center"/>
        </w:trPr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2023–2024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75.0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75.0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100.0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25.0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100.0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4.42</w:t>
            </w:r>
          </w:p>
        </w:tc>
      </w:tr>
      <w:tr w:rsidR="002932F3">
        <w:trPr>
          <w:jc w:val="center"/>
        </w:trPr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2024–2025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55.1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54.4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98.8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44.9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97.5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4.47</w:t>
            </w:r>
          </w:p>
        </w:tc>
      </w:tr>
      <w:tr w:rsidR="002932F3">
        <w:trPr>
          <w:jc w:val="center"/>
        </w:trPr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2025–2026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67.6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67.6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100.0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32.4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93.3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4.35</w:t>
            </w:r>
          </w:p>
        </w:tc>
      </w:tr>
      <w:tr w:rsidR="002932F3">
        <w:trPr>
          <w:jc w:val="center"/>
        </w:trPr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Итого / среднее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68.0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67.0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98.7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32.0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96.6</w:t>
            </w:r>
          </w:p>
        </w:tc>
        <w:tc>
          <w:tcPr>
            <w:tcW w:w="1514" w:type="dxa"/>
            <w:vAlign w:val="center"/>
          </w:tcPr>
          <w:p w:rsidR="002932F3" w:rsidRDefault="00E55325">
            <w:pPr>
              <w:jc w:val="center"/>
            </w:pPr>
            <w:r>
              <w:rPr>
                <w:sz w:val="16"/>
              </w:rPr>
              <w:t>4.43</w:t>
            </w:r>
          </w:p>
        </w:tc>
      </w:tr>
    </w:tbl>
    <w:p w:rsidR="002932F3" w:rsidRPr="00DB4D2E" w:rsidRDefault="00E55325">
      <w:pPr>
        <w:jc w:val="both"/>
        <w:rPr>
          <w:lang w:val="ru-RU"/>
        </w:rPr>
      </w:pPr>
      <w:r w:rsidRPr="00DB4D2E">
        <w:rPr>
          <w:lang w:val="ru-RU"/>
        </w:rPr>
        <w:t>За четыре года доля успешной защиты среди допущенных студентов составила 98.7%, что показывает высокий уровень итоговой готовности студентов, прошедших предварительный допуск. Качество защиты, рассчитанное как доля оценок «5» и «4» среди успешно защитившихся, составило 96.6%. Средний балл за весь период равен 4.43. Самый высокий средний балл наблюдался в 2024–2025 учебном году — 4.47, а в 2025–2026 учебном году он снизился до 4.35 за счет увеличения количества оценок «3».</w:t>
      </w:r>
    </w:p>
    <w:p w:rsidR="00DB4D2E" w:rsidRPr="00DB4D2E" w:rsidRDefault="00DB4D2E" w:rsidP="00DB4D2E">
      <w:pPr>
        <w:spacing w:before="180" w:after="180" w:line="240" w:lineRule="auto"/>
        <w:rPr>
          <w:rFonts w:eastAsia="Aptos" w:cs="Times New Roman"/>
          <w:szCs w:val="24"/>
          <w:lang w:val="ru-RU"/>
        </w:rPr>
      </w:pPr>
      <w:r w:rsidRPr="00DB4D2E">
        <w:rPr>
          <w:rFonts w:eastAsia="Aptos" w:cs="Times New Roman"/>
          <w:noProof/>
          <w:szCs w:val="24"/>
          <w:lang w:val="ru-RU" w:eastAsia="ru-RU"/>
        </w:rPr>
        <w:lastRenderedPageBreak/>
        <w:drawing>
          <wp:inline distT="0" distB="0" distL="0" distR="0" wp14:anchorId="0094A5D1" wp14:editId="61AA05E9">
            <wp:extent cx="6200775" cy="2752725"/>
            <wp:effectExtent l="0" t="0" r="9525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932F3" w:rsidRDefault="00E55325">
      <w:pPr>
        <w:jc w:val="center"/>
        <w:rPr>
          <w:b/>
          <w:sz w:val="22"/>
          <w:lang w:val="ru-RU"/>
        </w:rPr>
      </w:pPr>
      <w:r w:rsidRPr="00DB4D2E">
        <w:rPr>
          <w:b/>
          <w:sz w:val="22"/>
          <w:lang w:val="ru-RU"/>
        </w:rPr>
        <w:t>Рисунок 2 – Распределение оценок по результатам защиты</w:t>
      </w:r>
    </w:p>
    <w:p w:rsidR="00DB4D2E" w:rsidRDefault="00DB4D2E">
      <w:pPr>
        <w:jc w:val="center"/>
        <w:rPr>
          <w:b/>
          <w:sz w:val="22"/>
          <w:lang w:val="ru-RU"/>
        </w:rPr>
      </w:pPr>
    </w:p>
    <w:p w:rsidR="00DB4D2E" w:rsidRPr="00DB4D2E" w:rsidRDefault="00DB4D2E">
      <w:pPr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724650" cy="365760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932F3" w:rsidRPr="00DB4D2E" w:rsidRDefault="00E55325">
      <w:pPr>
        <w:jc w:val="center"/>
        <w:rPr>
          <w:lang w:val="ru-RU"/>
        </w:rPr>
      </w:pPr>
      <w:r w:rsidRPr="00DB4D2E">
        <w:rPr>
          <w:b/>
          <w:sz w:val="22"/>
          <w:lang w:val="ru-RU"/>
        </w:rPr>
        <w:t>Рисунок 3 – Ключевые относительные показатели защиты</w:t>
      </w:r>
    </w:p>
    <w:p w:rsidR="002932F3" w:rsidRPr="00FE289D" w:rsidRDefault="00E55325">
      <w:pPr>
        <w:pStyle w:val="1"/>
        <w:rPr>
          <w:color w:val="auto"/>
          <w:lang w:val="ru-RU"/>
        </w:rPr>
      </w:pPr>
      <w:r w:rsidRPr="00FE289D">
        <w:rPr>
          <w:rFonts w:ascii="Times New Roman" w:hAnsi="Times New Roman"/>
          <w:color w:val="auto"/>
          <w:sz w:val="28"/>
          <w:lang w:val="ru-RU"/>
        </w:rPr>
        <w:t>Основные аналитические выводы</w:t>
      </w:r>
    </w:p>
    <w:p w:rsidR="002932F3" w:rsidRPr="00DB4D2E" w:rsidRDefault="00E55325">
      <w:pPr>
        <w:pStyle w:val="a0"/>
        <w:jc w:val="both"/>
        <w:rPr>
          <w:lang w:val="ru-RU"/>
        </w:rPr>
      </w:pPr>
      <w:r w:rsidRPr="00FE289D">
        <w:rPr>
          <w:lang w:val="ru-RU"/>
        </w:rPr>
        <w:t xml:space="preserve">В 2024–2025 учебном году наблюдался пик количества выпускников — 147 студентов, однако именно этот год </w:t>
      </w:r>
      <w:r w:rsidRPr="00DB4D2E">
        <w:rPr>
          <w:lang w:val="ru-RU"/>
        </w:rPr>
        <w:t>характеризуется самым высоким числом не допущенных к защите — 66 человек.</w:t>
      </w:r>
    </w:p>
    <w:p w:rsidR="002932F3" w:rsidRPr="00DB4D2E" w:rsidRDefault="00E55325">
      <w:pPr>
        <w:pStyle w:val="a0"/>
        <w:jc w:val="both"/>
        <w:rPr>
          <w:lang w:val="ru-RU"/>
        </w:rPr>
      </w:pPr>
      <w:r w:rsidRPr="00DB4D2E">
        <w:rPr>
          <w:lang w:val="ru-RU"/>
        </w:rPr>
        <w:lastRenderedPageBreak/>
        <w:t xml:space="preserve">В 2025–2026 учебном году общее количество студентов уменьшилось до 111 человек, но по сравнению с предыдущим годом снизился уровень </w:t>
      </w:r>
      <w:proofErr w:type="spellStart"/>
      <w:r w:rsidRPr="00DB4D2E">
        <w:rPr>
          <w:lang w:val="ru-RU"/>
        </w:rPr>
        <w:t>недопуска</w:t>
      </w:r>
      <w:proofErr w:type="spellEnd"/>
      <w:r w:rsidRPr="00DB4D2E">
        <w:rPr>
          <w:lang w:val="ru-RU"/>
        </w:rPr>
        <w:t xml:space="preserve"> и повысилась доля студентов, допущенных к защите.</w:t>
      </w:r>
    </w:p>
    <w:p w:rsidR="002932F3" w:rsidRPr="00DB4D2E" w:rsidRDefault="00E55325">
      <w:pPr>
        <w:pStyle w:val="a0"/>
        <w:jc w:val="both"/>
        <w:rPr>
          <w:lang w:val="ru-RU"/>
        </w:rPr>
      </w:pPr>
      <w:r w:rsidRPr="00DB4D2E">
        <w:rPr>
          <w:lang w:val="ru-RU"/>
        </w:rPr>
        <w:t>За весь период неудовлетворительных оценок «2» не зафиксировано. Это свидетельствует о том, что студенты, прошедшие этап допуска, в основном обладают достаточным уровнем подготовки для успешной защиты.</w:t>
      </w:r>
    </w:p>
    <w:p w:rsidR="002932F3" w:rsidRPr="00DB4D2E" w:rsidRDefault="00E55325">
      <w:pPr>
        <w:pStyle w:val="a0"/>
        <w:jc w:val="both"/>
        <w:rPr>
          <w:lang w:val="ru-RU"/>
        </w:rPr>
      </w:pPr>
      <w:r w:rsidRPr="00DB4D2E">
        <w:rPr>
          <w:lang w:val="ru-RU"/>
        </w:rPr>
        <w:t>Наиболее сильным показателем является высокая доля оценок «5» и «4»: за четыре года такие оценки получили 283 студента из 293 успешно защитившихся.</w:t>
      </w:r>
    </w:p>
    <w:p w:rsidR="002932F3" w:rsidRPr="00FE289D" w:rsidRDefault="00E55325">
      <w:pPr>
        <w:pStyle w:val="a0"/>
        <w:jc w:val="both"/>
        <w:rPr>
          <w:lang w:val="ru-RU"/>
        </w:rPr>
      </w:pPr>
      <w:r w:rsidRPr="00FE289D">
        <w:rPr>
          <w:lang w:val="ru-RU"/>
        </w:rPr>
        <w:t>Основная проблемная зона связана не с процедурой самой защиты, а с предварительным этапом подготовки и допуска: суммарно за четыре года не были допущены 140 студентов, или 32,0% от общего числа выпускников.</w:t>
      </w:r>
    </w:p>
    <w:p w:rsidR="002932F3" w:rsidRPr="00FE289D" w:rsidRDefault="00E55325">
      <w:pPr>
        <w:pStyle w:val="1"/>
        <w:rPr>
          <w:color w:val="auto"/>
          <w:lang w:val="ru-RU"/>
        </w:rPr>
      </w:pPr>
      <w:r w:rsidRPr="00FE289D">
        <w:rPr>
          <w:rFonts w:ascii="Times New Roman" w:hAnsi="Times New Roman"/>
          <w:color w:val="auto"/>
          <w:sz w:val="28"/>
          <w:lang w:val="ru-RU"/>
        </w:rPr>
        <w:t>Проблемные аспекты</w:t>
      </w:r>
    </w:p>
    <w:p w:rsidR="002932F3" w:rsidRPr="00FE289D" w:rsidRDefault="00E55325">
      <w:pPr>
        <w:jc w:val="both"/>
        <w:rPr>
          <w:lang w:val="ru-RU"/>
        </w:rPr>
      </w:pPr>
      <w:r w:rsidRPr="00FE289D">
        <w:rPr>
          <w:lang w:val="ru-RU"/>
        </w:rPr>
        <w:t>Проведенный анализ показывает, что ключевым фактором риска является рост числа студентов, не допущенных к защите, особенно в группах заочной формы обучения. Возможными причинами являются несвоевременное выполнение индивидуальных графиков, недостаточная работа с руководителями ВКР, слабая практическая база отдельных работ, задержки с оформлением документации, а также несоблюдение требований к структуре и содержанию выпускной квалификационной работы. Отдельного внимания требует усиление контроля на промежуточных этапах подготовки: выбор темы, утверждение плана, сбор практических данных, подготовка аналитической части, оформление презентации и прохождение предварительной защиты.</w:t>
      </w:r>
    </w:p>
    <w:p w:rsidR="002932F3" w:rsidRPr="00FE289D" w:rsidRDefault="00E55325">
      <w:pPr>
        <w:pStyle w:val="1"/>
        <w:rPr>
          <w:color w:val="auto"/>
          <w:lang w:val="ru-RU"/>
        </w:rPr>
      </w:pPr>
      <w:r w:rsidRPr="00FE289D">
        <w:rPr>
          <w:rFonts w:ascii="Times New Roman" w:hAnsi="Times New Roman"/>
          <w:color w:val="auto"/>
          <w:sz w:val="28"/>
          <w:lang w:val="ru-RU"/>
        </w:rPr>
        <w:t>Рекомендации по повышению качества подготовки и защиты</w:t>
      </w:r>
    </w:p>
    <w:p w:rsidR="002932F3" w:rsidRPr="00FE289D" w:rsidRDefault="00E55325">
      <w:pPr>
        <w:pStyle w:val="a"/>
        <w:jc w:val="both"/>
        <w:rPr>
          <w:lang w:val="ru-RU"/>
        </w:rPr>
      </w:pPr>
      <w:r w:rsidRPr="00FE289D">
        <w:rPr>
          <w:lang w:val="ru-RU"/>
        </w:rPr>
        <w:t>Ввести поэтапный мониторинг готовности ВКР: не менее трех контрольных точек в течение учебного года с фиксацией процента готовности работы.</w:t>
      </w:r>
    </w:p>
    <w:p w:rsidR="002932F3" w:rsidRPr="00FE289D" w:rsidRDefault="00E55325">
      <w:pPr>
        <w:pStyle w:val="a"/>
        <w:jc w:val="both"/>
        <w:rPr>
          <w:lang w:val="ru-RU"/>
        </w:rPr>
      </w:pPr>
      <w:r w:rsidRPr="00FE289D">
        <w:rPr>
          <w:lang w:val="ru-RU"/>
        </w:rPr>
        <w:t xml:space="preserve">Усилить практику предварительных защит, особенно для студентов заочной формы обучения и групп с высоким риском </w:t>
      </w:r>
      <w:proofErr w:type="spellStart"/>
      <w:r w:rsidRPr="00FE289D">
        <w:rPr>
          <w:lang w:val="ru-RU"/>
        </w:rPr>
        <w:t>недопуска</w:t>
      </w:r>
      <w:proofErr w:type="spellEnd"/>
      <w:r w:rsidRPr="00FE289D">
        <w:rPr>
          <w:lang w:val="ru-RU"/>
        </w:rPr>
        <w:t>.</w:t>
      </w:r>
    </w:p>
    <w:p w:rsidR="002932F3" w:rsidRPr="00FE289D" w:rsidRDefault="00E55325">
      <w:pPr>
        <w:pStyle w:val="a"/>
        <w:jc w:val="both"/>
        <w:rPr>
          <w:lang w:val="ru-RU"/>
        </w:rPr>
      </w:pPr>
      <w:r w:rsidRPr="00FE289D">
        <w:rPr>
          <w:lang w:val="ru-RU"/>
        </w:rPr>
        <w:t>Разработать единые требования к структуре ВКР, оформлению таблиц, графиков, презентаций и раздаточного материала.</w:t>
      </w:r>
    </w:p>
    <w:p w:rsidR="002932F3" w:rsidRPr="00FE289D" w:rsidRDefault="00E55325">
      <w:pPr>
        <w:pStyle w:val="a"/>
        <w:jc w:val="both"/>
        <w:rPr>
          <w:lang w:val="ru-RU"/>
        </w:rPr>
      </w:pPr>
      <w:r w:rsidRPr="00FE289D">
        <w:rPr>
          <w:lang w:val="ru-RU"/>
        </w:rPr>
        <w:t>Организовать консультационные дни по методике анализа, расчетам, оформлению списка литературы и подготовке доклада для защиты.</w:t>
      </w:r>
    </w:p>
    <w:p w:rsidR="002932F3" w:rsidRPr="00FE289D" w:rsidRDefault="00E55325">
      <w:pPr>
        <w:pStyle w:val="a"/>
        <w:jc w:val="both"/>
        <w:rPr>
          <w:lang w:val="ru-RU"/>
        </w:rPr>
      </w:pPr>
      <w:r w:rsidRPr="00FE289D">
        <w:rPr>
          <w:lang w:val="ru-RU"/>
        </w:rPr>
        <w:t>Повысить практическую направленность тем ВКР: включать реальные данные предприятий, расчеты эффективности и конкретные рекомендации.</w:t>
      </w:r>
    </w:p>
    <w:p w:rsidR="002932F3" w:rsidRPr="00FE289D" w:rsidRDefault="00E55325">
      <w:pPr>
        <w:pStyle w:val="a"/>
        <w:jc w:val="both"/>
        <w:rPr>
          <w:lang w:val="ru-RU"/>
        </w:rPr>
      </w:pPr>
      <w:r w:rsidRPr="00FE289D">
        <w:rPr>
          <w:lang w:val="ru-RU"/>
        </w:rPr>
        <w:t>Проводить ежегодный сравнительный анализ результатов защиты по группам и специальностям для выявления слабых направлений подготовки.</w:t>
      </w:r>
    </w:p>
    <w:p w:rsidR="002932F3" w:rsidRDefault="00E55325">
      <w:pPr>
        <w:pStyle w:val="a"/>
        <w:jc w:val="both"/>
        <w:rPr>
          <w:lang w:val="ru-RU"/>
        </w:rPr>
      </w:pPr>
      <w:r w:rsidRPr="00FE289D">
        <w:rPr>
          <w:lang w:val="ru-RU"/>
        </w:rPr>
        <w:t>Закрепить персональную ответственность руководителей и студентов за соблюдение календарного графика подготовки ВКР.</w:t>
      </w:r>
    </w:p>
    <w:p w:rsidR="001F1B30" w:rsidRDefault="001F1B30" w:rsidP="001F1B30">
      <w:pPr>
        <w:pStyle w:val="a"/>
        <w:numPr>
          <w:ilvl w:val="0"/>
          <w:numId w:val="0"/>
        </w:numPr>
        <w:ind w:left="360" w:hanging="360"/>
        <w:jc w:val="both"/>
        <w:rPr>
          <w:lang w:val="ru-RU"/>
        </w:rPr>
      </w:pPr>
    </w:p>
    <w:p w:rsidR="001F1B30" w:rsidRPr="00FE289D" w:rsidRDefault="001F1B30" w:rsidP="001F1B30">
      <w:pPr>
        <w:pStyle w:val="a"/>
        <w:numPr>
          <w:ilvl w:val="0"/>
          <w:numId w:val="0"/>
        </w:numPr>
        <w:ind w:left="360" w:hanging="360"/>
        <w:jc w:val="both"/>
        <w:rPr>
          <w:lang w:val="ru-RU"/>
        </w:rPr>
      </w:pPr>
    </w:p>
    <w:p w:rsidR="002932F3" w:rsidRPr="00FE289D" w:rsidRDefault="00E55325">
      <w:pPr>
        <w:pStyle w:val="1"/>
        <w:rPr>
          <w:color w:val="auto"/>
          <w:lang w:val="ru-RU"/>
        </w:rPr>
      </w:pPr>
      <w:r w:rsidRPr="00FE289D">
        <w:rPr>
          <w:rFonts w:ascii="Times New Roman" w:hAnsi="Times New Roman"/>
          <w:color w:val="auto"/>
          <w:sz w:val="28"/>
          <w:lang w:val="ru-RU"/>
        </w:rPr>
        <w:lastRenderedPageBreak/>
        <w:t>Заключение</w:t>
      </w:r>
    </w:p>
    <w:p w:rsidR="002932F3" w:rsidRDefault="00E55325">
      <w:pPr>
        <w:jc w:val="both"/>
        <w:rPr>
          <w:lang w:val="ru-RU"/>
        </w:rPr>
      </w:pPr>
      <w:r w:rsidRPr="00DB4D2E">
        <w:rPr>
          <w:lang w:val="ru-RU"/>
        </w:rPr>
        <w:t xml:space="preserve">Итоги анализа за 2022–2026 учебные годы показывают, что защита выпускных квалификационных работ в филиале КГТУ им. И. </w:t>
      </w:r>
      <w:proofErr w:type="spellStart"/>
      <w:r w:rsidRPr="00DB4D2E">
        <w:rPr>
          <w:lang w:val="ru-RU"/>
        </w:rPr>
        <w:t>Раззакова</w:t>
      </w:r>
      <w:proofErr w:type="spellEnd"/>
      <w:r w:rsidRPr="00DB4D2E">
        <w:rPr>
          <w:lang w:val="ru-RU"/>
        </w:rPr>
        <w:t xml:space="preserve"> в г. Кызыл-</w:t>
      </w:r>
      <w:proofErr w:type="spellStart"/>
      <w:r w:rsidRPr="00DB4D2E">
        <w:rPr>
          <w:lang w:val="ru-RU"/>
        </w:rPr>
        <w:t>Кыя</w:t>
      </w:r>
      <w:proofErr w:type="spellEnd"/>
      <w:r w:rsidRPr="00DB4D2E">
        <w:rPr>
          <w:lang w:val="ru-RU"/>
        </w:rPr>
        <w:t xml:space="preserve"> в целом проводится результативно. Из 297 студентов, прошедших допуск, успешно защитились 293, что составляет 98.7%. При этом 283 студентов получили оценки «отлично» и «хорошо», что подтверждает высокий качественный уровень большинства защищенных работ. Вместе с тем значительная доля </w:t>
      </w:r>
      <w:proofErr w:type="spellStart"/>
      <w:r w:rsidRPr="00DB4D2E">
        <w:rPr>
          <w:lang w:val="ru-RU"/>
        </w:rPr>
        <w:t>недопущенных</w:t>
      </w:r>
      <w:proofErr w:type="spellEnd"/>
      <w:r w:rsidRPr="00DB4D2E">
        <w:rPr>
          <w:lang w:val="ru-RU"/>
        </w:rPr>
        <w:t xml:space="preserve"> студентов указывает на необходимость усиления предварительного контроля, регулярных консультаций и методического сопровождения выпускников. Реализация предложенных мер позволит снизить количество </w:t>
      </w:r>
      <w:proofErr w:type="spellStart"/>
      <w:r w:rsidRPr="00DB4D2E">
        <w:rPr>
          <w:lang w:val="ru-RU"/>
        </w:rPr>
        <w:t>недопусков</w:t>
      </w:r>
      <w:proofErr w:type="spellEnd"/>
      <w:r w:rsidRPr="00DB4D2E">
        <w:rPr>
          <w:lang w:val="ru-RU"/>
        </w:rPr>
        <w:t>, повысить качество выпускных квалификационных работ и обеспечить более устойчивые результаты защиты в последующие учебные годы.</w:t>
      </w:r>
    </w:p>
    <w:p w:rsidR="005F13E9" w:rsidRDefault="005F13E9">
      <w:pPr>
        <w:jc w:val="both"/>
        <w:rPr>
          <w:lang w:val="ru-RU"/>
        </w:rPr>
      </w:pPr>
    </w:p>
    <w:p w:rsidR="005F13E9" w:rsidRPr="00DB4D2E" w:rsidRDefault="005F13E9" w:rsidP="005F13E9">
      <w:pPr>
        <w:jc w:val="center"/>
        <w:rPr>
          <w:lang w:val="ru-RU"/>
        </w:rPr>
      </w:pPr>
      <w:r>
        <w:rPr>
          <w:lang w:val="ru-RU"/>
        </w:rPr>
        <w:t>Отчет составил ведущий специалист УО:   Курбанова Ч.А.</w:t>
      </w:r>
      <w:bookmarkStart w:id="0" w:name="_GoBack"/>
      <w:bookmarkEnd w:id="0"/>
    </w:p>
    <w:sectPr w:rsidR="005F13E9" w:rsidRPr="00DB4D2E" w:rsidSect="00034616">
      <w:footerReference w:type="default" r:id="rId11"/>
      <w:pgSz w:w="12240" w:h="15840"/>
      <w:pgMar w:top="907" w:right="737" w:bottom="90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8C4" w:rsidRDefault="007B18C4">
      <w:pPr>
        <w:spacing w:after="0" w:line="240" w:lineRule="auto"/>
      </w:pPr>
      <w:r>
        <w:separator/>
      </w:r>
    </w:p>
  </w:endnote>
  <w:endnote w:type="continuationSeparator" w:id="0">
    <w:p w:rsidR="007B18C4" w:rsidRDefault="007B1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2F3" w:rsidRPr="00DB4D2E" w:rsidRDefault="00E55325">
    <w:pPr>
      <w:pStyle w:val="a7"/>
      <w:jc w:val="center"/>
      <w:rPr>
        <w:lang w:val="ru-RU"/>
      </w:rPr>
    </w:pPr>
    <w:r w:rsidRPr="00DB4D2E">
      <w:rPr>
        <w:sz w:val="18"/>
        <w:lang w:val="ru-RU"/>
      </w:rPr>
      <w:t>Аналитический отчет по результатам защиты ВКР за 2022–2026 учебные годы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8C4" w:rsidRDefault="007B18C4">
      <w:pPr>
        <w:spacing w:after="0" w:line="240" w:lineRule="auto"/>
      </w:pPr>
      <w:r>
        <w:separator/>
      </w:r>
    </w:p>
  </w:footnote>
  <w:footnote w:type="continuationSeparator" w:id="0">
    <w:p w:rsidR="007B18C4" w:rsidRDefault="007B18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A99414"/>
    <w:multiLevelType w:val="multilevel"/>
    <w:tmpl w:val="C6EE363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10E668EE"/>
    <w:multiLevelType w:val="hybridMultilevel"/>
    <w:tmpl w:val="8ACC50C6"/>
    <w:lvl w:ilvl="0" w:tplc="89560E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2339"/>
    <w:rsid w:val="0015074B"/>
    <w:rsid w:val="001F1B30"/>
    <w:rsid w:val="002932F3"/>
    <w:rsid w:val="0029639D"/>
    <w:rsid w:val="00326F90"/>
    <w:rsid w:val="005F13E9"/>
    <w:rsid w:val="007B18C4"/>
    <w:rsid w:val="009D5309"/>
    <w:rsid w:val="00A30724"/>
    <w:rsid w:val="00AA1D8D"/>
    <w:rsid w:val="00B47730"/>
    <w:rsid w:val="00CB0664"/>
    <w:rsid w:val="00DB4D2E"/>
    <w:rsid w:val="00E55325"/>
    <w:rsid w:val="00FC693F"/>
    <w:rsid w:val="00FE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564AB0"/>
  <w14:defaultImageDpi w14:val="300"/>
  <w15:docId w15:val="{35A56AD2-1E70-40BC-A539-401590F31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DB4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DB4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Анализ выпускников за 2022-2026 уч.года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6773215331554628E-2"/>
          <c:y val="0.12306987399770905"/>
          <c:w val="0.90898436042602115"/>
          <c:h val="0.6762673737947704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 студентов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2022-2023 уч.год</c:v>
                </c:pt>
                <c:pt idx="1">
                  <c:v>2023-2024 уч.год</c:v>
                </c:pt>
                <c:pt idx="2">
                  <c:v>2024-2025 уч.год</c:v>
                </c:pt>
                <c:pt idx="3">
                  <c:v>2025-2026 уч.год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83</c:v>
                </c:pt>
                <c:pt idx="1">
                  <c:v>96</c:v>
                </c:pt>
                <c:pt idx="2">
                  <c:v>147</c:v>
                </c:pt>
                <c:pt idx="3">
                  <c:v>111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B6C-4241-A9FE-C618F0400C8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допущенных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2022-2023 уч.год</c:v>
                </c:pt>
                <c:pt idx="1">
                  <c:v>2023-2024 уч.год</c:v>
                </c:pt>
                <c:pt idx="2">
                  <c:v>2024-2025 уч.год</c:v>
                </c:pt>
                <c:pt idx="3">
                  <c:v>2025-2026 уч.год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69</c:v>
                </c:pt>
                <c:pt idx="1">
                  <c:v>72</c:v>
                </c:pt>
                <c:pt idx="2">
                  <c:v>81</c:v>
                </c:pt>
                <c:pt idx="3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B6C-4241-A9FE-C618F0400C8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сдали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2022-2023 уч.год</c:v>
                </c:pt>
                <c:pt idx="1">
                  <c:v>2023-2024 уч.год</c:v>
                </c:pt>
                <c:pt idx="2">
                  <c:v>2024-2025 уч.год</c:v>
                </c:pt>
                <c:pt idx="3">
                  <c:v>2025-2026 уч.год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66</c:v>
                </c:pt>
                <c:pt idx="1">
                  <c:v>72</c:v>
                </c:pt>
                <c:pt idx="2">
                  <c:v>80</c:v>
                </c:pt>
                <c:pt idx="3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B6C-4241-A9FE-C618F0400C8B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не допущены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2022-2023 уч.год</c:v>
                </c:pt>
                <c:pt idx="1">
                  <c:v>2023-2024 уч.год</c:v>
                </c:pt>
                <c:pt idx="2">
                  <c:v>2024-2025 уч.год</c:v>
                </c:pt>
                <c:pt idx="3">
                  <c:v>2025-2026 уч.год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14</c:v>
                </c:pt>
                <c:pt idx="1">
                  <c:v>24</c:v>
                </c:pt>
                <c:pt idx="2">
                  <c:v>66</c:v>
                </c:pt>
                <c:pt idx="3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B6C-4241-A9FE-C618F0400C8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36333664"/>
        <c:axId val="291696496"/>
      </c:barChart>
      <c:catAx>
        <c:axId val="3363336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1696496"/>
        <c:crosses val="autoZero"/>
        <c:auto val="1"/>
        <c:lblAlgn val="ctr"/>
        <c:lblOffset val="100"/>
        <c:noMultiLvlLbl val="0"/>
      </c:catAx>
      <c:valAx>
        <c:axId val="2916964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6333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effectLst/>
              </a:rPr>
              <a:t>Распределение оценок по результатам защиты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 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2022-2023 уч.год</c:v>
                </c:pt>
                <c:pt idx="1">
                  <c:v>2023-2024 уч.год</c:v>
                </c:pt>
                <c:pt idx="2">
                  <c:v>2024-2025 уч.год</c:v>
                </c:pt>
                <c:pt idx="3">
                  <c:v>2025-2026 уч.год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34</c:v>
                </c:pt>
                <c:pt idx="1">
                  <c:v>30</c:v>
                </c:pt>
                <c:pt idx="2">
                  <c:v>40</c:v>
                </c:pt>
                <c:pt idx="3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9B-4C5E-AA9E-5B988983FED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2022-2023 уч.год</c:v>
                </c:pt>
                <c:pt idx="1">
                  <c:v>2023-2024 уч.год</c:v>
                </c:pt>
                <c:pt idx="2">
                  <c:v>2024-2025 уч.год</c:v>
                </c:pt>
                <c:pt idx="3">
                  <c:v>2025-2026 уч.год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29</c:v>
                </c:pt>
                <c:pt idx="1">
                  <c:v>42</c:v>
                </c:pt>
                <c:pt idx="2">
                  <c:v>38</c:v>
                </c:pt>
                <c:pt idx="3">
                  <c:v>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E9B-4C5E-AA9E-5B988983FED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на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2022-2023 уч.год</c:v>
                </c:pt>
                <c:pt idx="1">
                  <c:v>2023-2024 уч.год</c:v>
                </c:pt>
                <c:pt idx="2">
                  <c:v>2024-2025 уч.год</c:v>
                </c:pt>
                <c:pt idx="3">
                  <c:v>2025-2026 уч.год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3</c:v>
                </c:pt>
                <c:pt idx="1">
                  <c:v>0</c:v>
                </c:pt>
                <c:pt idx="2">
                  <c:v>2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E9B-4C5E-AA9E-5B988983FED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shape val="box"/>
        <c:axId val="334479344"/>
        <c:axId val="334601296"/>
        <c:axId val="0"/>
      </c:bar3DChart>
      <c:catAx>
        <c:axId val="334479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4601296"/>
        <c:crosses val="autoZero"/>
        <c:auto val="1"/>
        <c:lblAlgn val="ctr"/>
        <c:lblOffset val="100"/>
        <c:noMultiLvlLbl val="0"/>
      </c:catAx>
      <c:valAx>
        <c:axId val="334601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34479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400" b="1" i="0" u="none" strike="noStrike" baseline="0">
                <a:effectLst/>
              </a:rPr>
              <a:t>Ключевые относительные показатели защиты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9.4995427271307803E-2"/>
          <c:y val="9.3732405070987748E-2"/>
          <c:w val="0.87625095729889291"/>
          <c:h val="0.57301148167289895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допущенных, %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4"/>
                <c:pt idx="0">
                  <c:v>2022-2023 гг.</c:v>
                </c:pt>
                <c:pt idx="1">
                  <c:v>2023-2024 гг.</c:v>
                </c:pt>
                <c:pt idx="2">
                  <c:v>2024-2025 гг.</c:v>
                </c:pt>
                <c:pt idx="3">
                  <c:v>2025-2026 гг.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83.1</c:v>
                </c:pt>
                <c:pt idx="1">
                  <c:v>75</c:v>
                </c:pt>
                <c:pt idx="2">
                  <c:v>55.1</c:v>
                </c:pt>
                <c:pt idx="3">
                  <c:v>67.599999999999994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9C2-4D56-821F-E30754B98DF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доля сдавших от общего числа,%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4"/>
                <c:pt idx="0">
                  <c:v>2022-2023 гг.</c:v>
                </c:pt>
                <c:pt idx="1">
                  <c:v>2023-2024 гг.</c:v>
                </c:pt>
                <c:pt idx="2">
                  <c:v>2024-2025 гг.</c:v>
                </c:pt>
                <c:pt idx="3">
                  <c:v>2025-2026 гг.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79.5</c:v>
                </c:pt>
                <c:pt idx="1">
                  <c:v>75</c:v>
                </c:pt>
                <c:pt idx="2">
                  <c:v>54.4</c:v>
                </c:pt>
                <c:pt idx="3">
                  <c:v>67.599999999999994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9C2-4D56-821F-E30754B98DF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доля не дощенных, %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4"/>
                <c:pt idx="0">
                  <c:v>2022-2023 гг.</c:v>
                </c:pt>
                <c:pt idx="1">
                  <c:v>2023-2024 гг.</c:v>
                </c:pt>
                <c:pt idx="2">
                  <c:v>2024-2025 гг.</c:v>
                </c:pt>
                <c:pt idx="3">
                  <c:v>2025-2026 гг.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16.899999999999999</c:v>
                </c:pt>
                <c:pt idx="1">
                  <c:v>25</c:v>
                </c:pt>
                <c:pt idx="2">
                  <c:v>44.9</c:v>
                </c:pt>
                <c:pt idx="3">
                  <c:v>32.4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9C2-4D56-821F-E30754B98DF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качество защиты "5"+"4"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4"/>
                <c:pt idx="0">
                  <c:v>2022-2023 гг.</c:v>
                </c:pt>
                <c:pt idx="1">
                  <c:v>2023-2024 гг.</c:v>
                </c:pt>
                <c:pt idx="2">
                  <c:v>2024-2025 гг.</c:v>
                </c:pt>
                <c:pt idx="3">
                  <c:v>2025-2026 гг.</c:v>
                </c:pt>
              </c:strCache>
            </c:str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95.5</c:v>
                </c:pt>
                <c:pt idx="1">
                  <c:v>100</c:v>
                </c:pt>
                <c:pt idx="2">
                  <c:v>97.5</c:v>
                </c:pt>
                <c:pt idx="3">
                  <c:v>93.3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9C2-4D56-821F-E30754B98DF1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405527216"/>
        <c:axId val="405528048"/>
      </c:lineChart>
      <c:catAx>
        <c:axId val="40552721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учебные года    </a:t>
                </a:r>
              </a:p>
            </c:rich>
          </c:tx>
          <c:layout>
            <c:manualLayout>
              <c:xMode val="edge"/>
              <c:yMode val="edge"/>
              <c:x val="0.32827195467422099"/>
              <c:y val="0.7253024453024452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5528048"/>
        <c:crosses val="autoZero"/>
        <c:auto val="1"/>
        <c:lblAlgn val="ctr"/>
        <c:lblOffset val="100"/>
        <c:noMultiLvlLbl val="0"/>
      </c:catAx>
      <c:valAx>
        <c:axId val="405528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Процент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055272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2.5070747176432973E-2"/>
          <c:y val="0.80025131993635945"/>
          <c:w val="0.39324842185095132"/>
          <c:h val="0.1229797626648020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6CFBAE-E3F0-4751-BF9C-90A7CF561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961</Words>
  <Characters>5483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NEON</cp:lastModifiedBy>
  <cp:revision>4</cp:revision>
  <cp:lastPrinted>2026-06-30T06:59:00Z</cp:lastPrinted>
  <dcterms:created xsi:type="dcterms:W3CDTF">2026-06-30T07:23:00Z</dcterms:created>
  <dcterms:modified xsi:type="dcterms:W3CDTF">2026-07-01T12:09:00Z</dcterms:modified>
  <cp:category/>
</cp:coreProperties>
</file>